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400" w:lineRule="exact"/>
        <w:rPr>
          <w:rFonts w:eastAsia="黑体"/>
          <w:bCs/>
          <w:color w:val="000000"/>
          <w:spacing w:val="-6"/>
          <w:sz w:val="32"/>
          <w:szCs w:val="32"/>
        </w:rPr>
      </w:pPr>
      <w:r>
        <w:rPr>
          <w:rFonts w:hint="eastAsia" w:eastAsia="黑体"/>
          <w:bCs/>
          <w:color w:val="000000"/>
          <w:spacing w:val="-6"/>
          <w:sz w:val="32"/>
          <w:szCs w:val="32"/>
        </w:rPr>
        <w:t>附件</w:t>
      </w:r>
      <w:r>
        <w:rPr>
          <w:rFonts w:eastAsia="黑体"/>
          <w:bCs/>
          <w:color w:val="000000"/>
          <w:spacing w:val="-6"/>
          <w:sz w:val="32"/>
          <w:szCs w:val="32"/>
        </w:rPr>
        <w:t>4</w:t>
      </w:r>
    </w:p>
    <w:p>
      <w:pPr>
        <w:pStyle w:val="10"/>
        <w:snapToGrid w:val="0"/>
        <w:spacing w:line="460" w:lineRule="exact"/>
        <w:jc w:val="center"/>
        <w:rPr>
          <w:b/>
          <w:bCs/>
          <w:sz w:val="44"/>
          <w:szCs w:val="44"/>
        </w:rPr>
      </w:pPr>
      <w:bookmarkStart w:id="0" w:name="_GoBack"/>
      <w:r>
        <w:rPr>
          <w:rFonts w:hint="eastAsia"/>
          <w:b/>
          <w:sz w:val="36"/>
          <w:szCs w:val="36"/>
        </w:rPr>
        <w:t>泉州</w:t>
      </w:r>
      <w:r>
        <w:rPr>
          <w:rFonts w:hint="eastAsia"/>
          <w:b/>
          <w:kern w:val="2"/>
          <w:sz w:val="36"/>
          <w:szCs w:val="36"/>
        </w:rPr>
        <w:t>市安全生产标准化提升专项行动巩固提高进展情况月报表（二）</w:t>
      </w:r>
      <w:bookmarkEnd w:id="0"/>
    </w:p>
    <w:p>
      <w:pPr>
        <w:pStyle w:val="10"/>
        <w:snapToGrid w:val="0"/>
        <w:spacing w:beforeLines="50" w:afterLines="50" w:line="400" w:lineRule="exact"/>
        <w:ind w:left="0" w:leftChars="-233" w:right="-466" w:rightChars="-222" w:hanging="489" w:hangingChars="204"/>
        <w:jc w:val="center"/>
        <w:rPr>
          <w:b/>
          <w:bCs/>
          <w:kern w:val="2"/>
          <w:szCs w:val="24"/>
          <w:u w:val="single"/>
        </w:rPr>
      </w:pPr>
      <w:r>
        <w:rPr>
          <w:rFonts w:hint="eastAsia"/>
          <w:kern w:val="2"/>
        </w:rPr>
        <w:t>填报单位（盖章）：</w:t>
      </w:r>
      <w:r>
        <w:rPr>
          <w:kern w:val="2"/>
          <w:u w:val="single"/>
        </w:rPr>
        <w:t xml:space="preserve">                             </w:t>
      </w:r>
      <w:r>
        <w:rPr>
          <w:kern w:val="2"/>
        </w:rPr>
        <w:t xml:space="preserve">  </w:t>
      </w:r>
      <w:r>
        <w:rPr>
          <w:rFonts w:hint="eastAsia"/>
          <w:kern w:val="2"/>
        </w:rPr>
        <w:t>填表人：</w:t>
      </w:r>
      <w:r>
        <w:rPr>
          <w:kern w:val="2"/>
          <w:u w:val="single"/>
        </w:rPr>
        <w:t xml:space="preserve">            </w:t>
      </w:r>
      <w:r>
        <w:rPr>
          <w:kern w:val="2"/>
        </w:rPr>
        <w:t xml:space="preserve">  </w:t>
      </w:r>
      <w:r>
        <w:rPr>
          <w:rFonts w:hint="eastAsia"/>
          <w:kern w:val="2"/>
        </w:rPr>
        <w:t>联系电话：</w:t>
      </w:r>
      <w:r>
        <w:rPr>
          <w:kern w:val="2"/>
          <w:u w:val="single"/>
        </w:rPr>
        <w:t xml:space="preserve">             </w:t>
      </w:r>
      <w:r>
        <w:rPr>
          <w:kern w:val="2"/>
        </w:rPr>
        <w:t xml:space="preserve">          </w:t>
      </w:r>
      <w:r>
        <w:rPr>
          <w:kern w:val="2"/>
          <w:u w:val="single"/>
        </w:rPr>
        <w:t xml:space="preserve">       </w:t>
      </w:r>
      <w:r>
        <w:rPr>
          <w:rFonts w:hint="eastAsia"/>
          <w:kern w:val="2"/>
        </w:rPr>
        <w:t>年</w:t>
      </w:r>
      <w:r>
        <w:rPr>
          <w:kern w:val="2"/>
          <w:u w:val="single"/>
        </w:rPr>
        <w:t xml:space="preserve">    </w:t>
      </w:r>
      <w:r>
        <w:rPr>
          <w:rFonts w:hint="eastAsia"/>
          <w:kern w:val="2"/>
        </w:rPr>
        <w:t>月</w:t>
      </w:r>
      <w:r>
        <w:rPr>
          <w:kern w:val="2"/>
          <w:u w:val="single"/>
        </w:rPr>
        <w:t xml:space="preserve">    </w:t>
      </w:r>
      <w:r>
        <w:rPr>
          <w:rFonts w:hint="eastAsia"/>
          <w:kern w:val="2"/>
        </w:rPr>
        <w:t>日</w:t>
      </w:r>
    </w:p>
    <w:tbl>
      <w:tblPr>
        <w:tblStyle w:val="7"/>
        <w:tblpPr w:leftFromText="180" w:rightFromText="180" w:vertAnchor="text" w:tblpXSpec="center" w:tblpY="1"/>
        <w:tblOverlap w:val="never"/>
        <w:tblW w:w="15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85"/>
        <w:gridCol w:w="385"/>
        <w:gridCol w:w="385"/>
        <w:gridCol w:w="385"/>
        <w:gridCol w:w="385"/>
        <w:gridCol w:w="385"/>
        <w:gridCol w:w="385"/>
        <w:gridCol w:w="384"/>
        <w:gridCol w:w="384"/>
        <w:gridCol w:w="384"/>
        <w:gridCol w:w="384"/>
        <w:gridCol w:w="384"/>
        <w:gridCol w:w="384"/>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Merge w:val="restart"/>
            <w:vAlign w:val="center"/>
          </w:tcPr>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填报</w:t>
            </w:r>
          </w:p>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单位</w:t>
            </w:r>
          </w:p>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类型</w:t>
            </w:r>
          </w:p>
        </w:tc>
        <w:tc>
          <w:tcPr>
            <w:tcW w:w="1925" w:type="dxa"/>
            <w:gridSpan w:val="5"/>
            <w:vAlign w:val="center"/>
          </w:tcPr>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优化标准规范</w:t>
            </w:r>
          </w:p>
        </w:tc>
        <w:tc>
          <w:tcPr>
            <w:tcW w:w="6539" w:type="dxa"/>
            <w:gridSpan w:val="17"/>
            <w:vAlign w:val="center"/>
          </w:tcPr>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四色安全风险分级动态监管</w:t>
            </w:r>
          </w:p>
        </w:tc>
        <w:tc>
          <w:tcPr>
            <w:tcW w:w="5775" w:type="dxa"/>
            <w:gridSpan w:val="15"/>
            <w:vAlign w:val="center"/>
          </w:tcPr>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执法激励约束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008" w:type="dxa"/>
            <w:vMerge w:val="continue"/>
            <w:vAlign w:val="center"/>
          </w:tcPr>
          <w:p>
            <w:pPr>
              <w:pStyle w:val="6"/>
              <w:adjustRightInd w:val="0"/>
              <w:snapToGrid w:val="0"/>
              <w:spacing w:after="0" w:line="500" w:lineRule="exact"/>
              <w:ind w:left="0" w:leftChars="0" w:firstLine="0" w:firstLineChars="0"/>
              <w:jc w:val="center"/>
              <w:rPr>
                <w:rFonts w:ascii="Times New Roman" w:hAnsi="Times New Roman"/>
                <w:b/>
                <w:sz w:val="24"/>
                <w:szCs w:val="24"/>
              </w:rPr>
            </w:pPr>
          </w:p>
        </w:tc>
        <w:tc>
          <w:tcPr>
            <w:tcW w:w="385" w:type="dxa"/>
            <w:vMerge w:val="restart"/>
            <w:vAlign w:val="center"/>
          </w:tcPr>
          <w:p>
            <w:pPr>
              <w:pStyle w:val="6"/>
              <w:adjustRightInd w:val="0"/>
              <w:snapToGrid w:val="0"/>
              <w:spacing w:after="0"/>
              <w:ind w:left="-42" w:leftChars="-20" w:firstLine="0" w:firstLineChars="0"/>
              <w:jc w:val="center"/>
              <w:rPr>
                <w:rFonts w:ascii="Times New Roman" w:hAnsi="Times New Roman"/>
                <w:b/>
                <w:sz w:val="24"/>
                <w:szCs w:val="24"/>
              </w:rPr>
            </w:pPr>
            <w:r>
              <w:rPr>
                <w:rFonts w:hint="eastAsia" w:ascii="Times New Roman" w:hAnsi="Times New Roman"/>
                <w:b/>
                <w:sz w:val="24"/>
                <w:szCs w:val="24"/>
              </w:rPr>
              <w:t>安全生产检查清单︵份︶</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标准化运行提升指南︵份︶</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中等企业达标细则︵份︶</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小微企业达标细则︵份︶</w:t>
            </w:r>
          </w:p>
        </w:tc>
        <w:tc>
          <w:tcPr>
            <w:tcW w:w="385" w:type="dxa"/>
            <w:vMerge w:val="restart"/>
            <w:vAlign w:val="center"/>
          </w:tcPr>
          <w:p>
            <w:pPr>
              <w:pStyle w:val="6"/>
              <w:adjustRightInd w:val="0"/>
              <w:snapToGrid w:val="0"/>
              <w:spacing w:after="0" w:line="260" w:lineRule="exact"/>
              <w:ind w:left="-23" w:leftChars="0" w:firstLine="0" w:firstLineChars="0"/>
              <w:jc w:val="center"/>
              <w:rPr>
                <w:rFonts w:ascii="Times New Roman" w:hAnsi="Times New Roman"/>
                <w:b/>
                <w:sz w:val="24"/>
                <w:szCs w:val="24"/>
              </w:rPr>
            </w:pPr>
            <w:r>
              <w:rPr>
                <w:rFonts w:hint="eastAsia" w:ascii="Times New Roman" w:hAnsi="Times New Roman"/>
                <w:b/>
                <w:sz w:val="24"/>
                <w:szCs w:val="24"/>
              </w:rPr>
              <w:t>网格员安全生产检查导则︵份︶</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企业总数︵家︶</w:t>
            </w:r>
          </w:p>
        </w:tc>
        <w:tc>
          <w:tcPr>
            <w:tcW w:w="1537" w:type="dxa"/>
            <w:gridSpan w:val="4"/>
            <w:vAlign w:val="center"/>
          </w:tcPr>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红色风险</w:t>
            </w:r>
          </w:p>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企业（家）</w:t>
            </w:r>
          </w:p>
        </w:tc>
        <w:tc>
          <w:tcPr>
            <w:tcW w:w="1537" w:type="dxa"/>
            <w:gridSpan w:val="4"/>
            <w:vAlign w:val="center"/>
          </w:tcPr>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橙色风险</w:t>
            </w:r>
          </w:p>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企业（家）</w:t>
            </w:r>
          </w:p>
        </w:tc>
        <w:tc>
          <w:tcPr>
            <w:tcW w:w="1540" w:type="dxa"/>
            <w:gridSpan w:val="4"/>
            <w:vAlign w:val="center"/>
          </w:tcPr>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黄色风险</w:t>
            </w:r>
          </w:p>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企业（家）</w:t>
            </w:r>
          </w:p>
        </w:tc>
        <w:tc>
          <w:tcPr>
            <w:tcW w:w="1540" w:type="dxa"/>
            <w:gridSpan w:val="4"/>
            <w:vAlign w:val="center"/>
          </w:tcPr>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蓝色风险</w:t>
            </w:r>
          </w:p>
          <w:p>
            <w:pPr>
              <w:pStyle w:val="6"/>
              <w:adjustRightInd w:val="0"/>
              <w:snapToGrid w:val="0"/>
              <w:spacing w:after="0"/>
              <w:ind w:left="0" w:leftChars="0" w:firstLine="0" w:firstLineChars="0"/>
              <w:jc w:val="center"/>
              <w:rPr>
                <w:rFonts w:ascii="Times New Roman" w:hAnsi="Times New Roman"/>
                <w:b/>
                <w:sz w:val="24"/>
                <w:szCs w:val="24"/>
              </w:rPr>
            </w:pPr>
            <w:r>
              <w:rPr>
                <w:rFonts w:hint="eastAsia" w:ascii="Times New Roman" w:hAnsi="Times New Roman"/>
                <w:b/>
                <w:sz w:val="24"/>
                <w:szCs w:val="24"/>
              </w:rPr>
              <w:t>企业（家）</w:t>
            </w:r>
          </w:p>
        </w:tc>
        <w:tc>
          <w:tcPr>
            <w:tcW w:w="385" w:type="dxa"/>
            <w:vMerge w:val="restart"/>
            <w:vAlign w:val="center"/>
          </w:tcPr>
          <w:p>
            <w:pPr>
              <w:pStyle w:val="6"/>
              <w:adjustRightInd w:val="0"/>
              <w:snapToGrid w:val="0"/>
              <w:spacing w:after="0"/>
              <w:ind w:left="-17" w:leftChars="0" w:firstLine="0" w:firstLineChars="0"/>
              <w:jc w:val="center"/>
              <w:rPr>
                <w:rFonts w:ascii="Times New Roman" w:hAnsi="Times New Roman"/>
                <w:b/>
                <w:sz w:val="24"/>
                <w:szCs w:val="24"/>
              </w:rPr>
            </w:pPr>
            <w:r>
              <w:rPr>
                <w:rFonts w:hint="eastAsia" w:ascii="Times New Roman" w:hAnsi="Times New Roman"/>
                <w:b/>
                <w:sz w:val="24"/>
                <w:szCs w:val="24"/>
              </w:rPr>
              <w:t>检查企业︵家次︶</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发现隐患︵条︶</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督促整改隐患︵条︶</w:t>
            </w:r>
          </w:p>
        </w:tc>
        <w:tc>
          <w:tcPr>
            <w:tcW w:w="770" w:type="dxa"/>
            <w:gridSpan w:val="2"/>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重大隐患挂牌督办</w:t>
            </w:r>
          </w:p>
        </w:tc>
        <w:tc>
          <w:tcPr>
            <w:tcW w:w="770" w:type="dxa"/>
            <w:gridSpan w:val="2"/>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罚款</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责令停产停业整顿︵家次︶</w:t>
            </w:r>
          </w:p>
        </w:tc>
        <w:tc>
          <w:tcPr>
            <w:tcW w:w="385" w:type="dxa"/>
            <w:vMerge w:val="restart"/>
            <w:vAlign w:val="center"/>
          </w:tcPr>
          <w:p>
            <w:pPr>
              <w:pStyle w:val="6"/>
              <w:adjustRightInd w:val="0"/>
              <w:snapToGrid w:val="0"/>
              <w:spacing w:after="0" w:line="280" w:lineRule="exact"/>
              <w:ind w:left="-23" w:leftChars="0" w:firstLine="0" w:firstLineChars="0"/>
              <w:jc w:val="center"/>
              <w:rPr>
                <w:rFonts w:ascii="Times New Roman" w:hAnsi="Times New Roman"/>
                <w:b/>
                <w:sz w:val="24"/>
                <w:szCs w:val="24"/>
              </w:rPr>
            </w:pPr>
            <w:r>
              <w:rPr>
                <w:rFonts w:hint="eastAsia" w:ascii="Times New Roman" w:hAnsi="Times New Roman"/>
                <w:b/>
                <w:sz w:val="24"/>
                <w:szCs w:val="24"/>
              </w:rPr>
              <w:t>暂扣或吊销证照企业︵家次︶</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取缔关闭企业︵家次︶</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移送司法机关︵人次︶</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曝光典型案例企业︵家次︶</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约谈警示企业︵家次︶</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激励单位︵家次︶</w:t>
            </w:r>
          </w:p>
        </w:tc>
        <w:tc>
          <w:tcPr>
            <w:tcW w:w="385" w:type="dxa"/>
            <w:vMerge w:val="restart"/>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约束单位︵家次︶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1008" w:type="dxa"/>
            <w:vMerge w:val="continue"/>
            <w:vAlign w:val="center"/>
          </w:tcPr>
          <w:p>
            <w:pPr>
              <w:pStyle w:val="6"/>
              <w:adjustRightInd w:val="0"/>
              <w:snapToGrid w:val="0"/>
              <w:spacing w:after="0" w:line="500" w:lineRule="exact"/>
              <w:ind w:left="0" w:leftChars="0" w:firstLine="0" w:firstLineChars="0"/>
              <w:jc w:val="center"/>
              <w:rPr>
                <w:rFonts w:ascii="Times New Roman" w:hAnsi="Times New Roman"/>
                <w:b/>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b/>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b/>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b/>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b/>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b/>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b/>
                <w:sz w:val="24"/>
                <w:szCs w:val="24"/>
              </w:rPr>
            </w:pP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总数</w:t>
            </w:r>
          </w:p>
        </w:tc>
        <w:tc>
          <w:tcPr>
            <w:tcW w:w="384"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规上企业</w:t>
            </w:r>
          </w:p>
        </w:tc>
        <w:tc>
          <w:tcPr>
            <w:tcW w:w="384"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中等企业</w:t>
            </w:r>
          </w:p>
        </w:tc>
        <w:tc>
          <w:tcPr>
            <w:tcW w:w="384"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小微企业</w:t>
            </w:r>
          </w:p>
        </w:tc>
        <w:tc>
          <w:tcPr>
            <w:tcW w:w="384"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总数</w:t>
            </w:r>
          </w:p>
        </w:tc>
        <w:tc>
          <w:tcPr>
            <w:tcW w:w="384"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规上企业</w:t>
            </w:r>
          </w:p>
        </w:tc>
        <w:tc>
          <w:tcPr>
            <w:tcW w:w="384"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中等企业</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小微企业</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总数</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规上企业</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中等企业</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小微企业</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总数</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规上企业</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中等企业</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小微企业</w:t>
            </w: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b/>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b/>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b/>
                <w:sz w:val="24"/>
                <w:szCs w:val="24"/>
              </w:rPr>
            </w:pP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企业数︵家次︶</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隐患数︵条︶</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企业数︵家次︶</w:t>
            </w:r>
          </w:p>
        </w:tc>
        <w:tc>
          <w:tcPr>
            <w:tcW w:w="385" w:type="dxa"/>
            <w:vAlign w:val="center"/>
          </w:tcPr>
          <w:p>
            <w:pPr>
              <w:pStyle w:val="6"/>
              <w:adjustRightInd w:val="0"/>
              <w:snapToGrid w:val="0"/>
              <w:spacing w:after="0"/>
              <w:ind w:left="-20" w:leftChars="0" w:firstLine="0" w:firstLineChars="0"/>
              <w:jc w:val="center"/>
              <w:rPr>
                <w:rFonts w:ascii="Times New Roman" w:hAnsi="Times New Roman"/>
                <w:b/>
                <w:sz w:val="24"/>
                <w:szCs w:val="24"/>
              </w:rPr>
            </w:pPr>
            <w:r>
              <w:rPr>
                <w:rFonts w:hint="eastAsia" w:ascii="Times New Roman" w:hAnsi="Times New Roman"/>
                <w:b/>
                <w:sz w:val="24"/>
                <w:szCs w:val="24"/>
              </w:rPr>
              <w:t>金额︵万元︶</w:t>
            </w: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sz w:val="24"/>
                <w:szCs w:val="24"/>
              </w:rPr>
            </w:pPr>
          </w:p>
        </w:tc>
        <w:tc>
          <w:tcPr>
            <w:tcW w:w="385" w:type="dxa"/>
            <w:vMerge w:val="continue"/>
            <w:vAlign w:val="center"/>
          </w:tcPr>
          <w:p>
            <w:pPr>
              <w:pStyle w:val="6"/>
              <w:adjustRightInd w:val="0"/>
              <w:snapToGrid w:val="0"/>
              <w:spacing w:after="0"/>
              <w:ind w:left="-20" w:leftChars="0"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08" w:type="dxa"/>
            <w:vAlign w:val="center"/>
          </w:tcPr>
          <w:p>
            <w:pPr>
              <w:pStyle w:val="6"/>
              <w:adjustRightInd w:val="0"/>
              <w:snapToGrid w:val="0"/>
              <w:spacing w:after="0"/>
              <w:ind w:left="0" w:leftChars="0" w:firstLine="0" w:firstLineChars="0"/>
              <w:jc w:val="center"/>
              <w:rPr>
                <w:rFonts w:ascii="Times New Roman" w:hAnsi="Times New Roman"/>
                <w:sz w:val="18"/>
                <w:szCs w:val="18"/>
              </w:rPr>
            </w:pPr>
            <w:r>
              <w:rPr>
                <w:rFonts w:hint="eastAsia" w:ascii="Times New Roman" w:hAnsi="Times New Roman"/>
                <w:sz w:val="18"/>
                <w:szCs w:val="18"/>
              </w:rPr>
              <w:t>市直单位</w:t>
            </w: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08" w:type="dxa"/>
            <w:vAlign w:val="center"/>
          </w:tcPr>
          <w:p>
            <w:pPr>
              <w:pStyle w:val="6"/>
              <w:adjustRightInd w:val="0"/>
              <w:snapToGrid w:val="0"/>
              <w:spacing w:after="0"/>
              <w:ind w:left="0" w:leftChars="0" w:firstLine="0" w:firstLineChars="0"/>
              <w:jc w:val="center"/>
              <w:rPr>
                <w:rFonts w:ascii="Times New Roman" w:hAnsi="Times New Roman"/>
                <w:sz w:val="18"/>
                <w:szCs w:val="18"/>
              </w:rPr>
            </w:pPr>
            <w:r>
              <w:rPr>
                <w:rFonts w:hint="eastAsia" w:ascii="Times New Roman" w:hAnsi="Times New Roman"/>
                <w:sz w:val="18"/>
                <w:szCs w:val="18"/>
              </w:rPr>
              <w:t>县</w:t>
            </w:r>
          </w:p>
          <w:p>
            <w:pPr>
              <w:pStyle w:val="6"/>
              <w:adjustRightInd w:val="0"/>
              <w:snapToGrid w:val="0"/>
              <w:spacing w:after="0"/>
              <w:ind w:left="0" w:leftChars="0" w:firstLine="0" w:firstLineChars="0"/>
              <w:jc w:val="center"/>
              <w:rPr>
                <w:rFonts w:ascii="Times New Roman" w:hAnsi="Times New Roman"/>
                <w:sz w:val="18"/>
                <w:szCs w:val="18"/>
              </w:rPr>
            </w:pPr>
            <w:r>
              <w:rPr>
                <w:rFonts w:hint="eastAsia" w:ascii="Times New Roman" w:hAnsi="Times New Roman"/>
                <w:sz w:val="18"/>
                <w:szCs w:val="18"/>
              </w:rPr>
              <w:t>（市、区）</w:t>
            </w: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4"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c>
          <w:tcPr>
            <w:tcW w:w="385" w:type="dxa"/>
            <w:vAlign w:val="center"/>
          </w:tcPr>
          <w:p>
            <w:pPr>
              <w:pStyle w:val="6"/>
              <w:adjustRightInd w:val="0"/>
              <w:snapToGrid w:val="0"/>
              <w:spacing w:after="0" w:line="500" w:lineRule="exact"/>
              <w:ind w:left="0" w:leftChars="0" w:firstLine="0" w:firstLineChars="0"/>
              <w:jc w:val="center"/>
              <w:rPr>
                <w:rFonts w:ascii="Times New Roman" w:hAnsi="Times New Roman"/>
                <w:sz w:val="18"/>
                <w:szCs w:val="18"/>
              </w:rPr>
            </w:pPr>
          </w:p>
        </w:tc>
      </w:tr>
    </w:tbl>
    <w:p>
      <w:pPr>
        <w:spacing w:line="360" w:lineRule="exact"/>
        <w:ind w:left="2" w:leftChars="-200" w:right="-548" w:rightChars="-261" w:hanging="422" w:hangingChars="175"/>
        <w:rPr>
          <w:rFonts w:ascii="Times New Roman" w:hAnsi="Times New Roman" w:eastAsia="仿宋"/>
          <w:sz w:val="24"/>
        </w:rPr>
      </w:pPr>
      <w:r>
        <w:rPr>
          <w:rFonts w:hint="eastAsia" w:ascii="Times New Roman" w:hAnsi="Times New Roman" w:eastAsia="仿宋"/>
          <w:b/>
          <w:sz w:val="24"/>
        </w:rPr>
        <w:t>注：</w:t>
      </w:r>
      <w:r>
        <w:rPr>
          <w:rFonts w:ascii="Times New Roman" w:hAnsi="Times New Roman" w:eastAsia="仿宋"/>
          <w:sz w:val="24"/>
        </w:rPr>
        <w:t>1.</w:t>
      </w:r>
      <w:r>
        <w:rPr>
          <w:rFonts w:hint="eastAsia" w:ascii="Times New Roman" w:hAnsi="Times New Roman" w:eastAsia="仿宋"/>
          <w:sz w:val="24"/>
        </w:rPr>
        <w:t>各填报单位按照各自所属的单位类型进行填报；</w:t>
      </w:r>
      <w:r>
        <w:rPr>
          <w:rFonts w:ascii="Times New Roman" w:hAnsi="Times New Roman" w:eastAsia="仿宋"/>
          <w:sz w:val="24"/>
        </w:rPr>
        <w:t>2.</w:t>
      </w:r>
      <w:r>
        <w:rPr>
          <w:rFonts w:hint="eastAsia" w:ascii="Times New Roman" w:hAnsi="Times New Roman" w:eastAsia="仿宋"/>
          <w:sz w:val="24"/>
        </w:rPr>
        <w:t>四色安全风险分级动态监管指的是对企业安全生产状况进行整体评估，按照</w:t>
      </w:r>
      <w:r>
        <w:rPr>
          <w:rFonts w:ascii="Times New Roman" w:hAnsi="Times New Roman" w:eastAsia="仿宋"/>
          <w:sz w:val="24"/>
        </w:rPr>
        <w:t>“</w:t>
      </w:r>
      <w:r>
        <w:rPr>
          <w:rFonts w:hint="eastAsia" w:ascii="Times New Roman" w:hAnsi="Times New Roman" w:eastAsia="仿宋"/>
          <w:sz w:val="24"/>
        </w:rPr>
        <w:t>红、橙、黄、蓝</w:t>
      </w:r>
      <w:r>
        <w:rPr>
          <w:rFonts w:ascii="Times New Roman" w:hAnsi="Times New Roman" w:eastAsia="仿宋"/>
          <w:sz w:val="24"/>
        </w:rPr>
        <w:t>”</w:t>
      </w:r>
      <w:r>
        <w:rPr>
          <w:rFonts w:hint="eastAsia" w:ascii="Times New Roman" w:hAnsi="Times New Roman" w:eastAsia="仿宋"/>
          <w:sz w:val="24"/>
        </w:rPr>
        <w:t>确定企业整体安全风险等级；</w:t>
      </w:r>
      <w:r>
        <w:rPr>
          <w:rFonts w:ascii="Times New Roman" w:hAnsi="Times New Roman" w:eastAsia="仿宋"/>
          <w:sz w:val="24"/>
        </w:rPr>
        <w:t>3.</w:t>
      </w:r>
      <w:r>
        <w:rPr>
          <w:rFonts w:hint="eastAsia" w:ascii="Times New Roman" w:hAnsi="Times New Roman" w:eastAsia="仿宋"/>
          <w:sz w:val="24"/>
        </w:rPr>
        <w:t>市直单位填报的数据只填报本单位巩固提高进展情况（不含县级及以下的数据）；</w:t>
      </w:r>
      <w:r>
        <w:rPr>
          <w:rFonts w:ascii="Times New Roman" w:hAnsi="Times New Roman" w:eastAsia="仿宋"/>
          <w:sz w:val="24"/>
        </w:rPr>
        <w:t>4.</w:t>
      </w:r>
      <w:r>
        <w:rPr>
          <w:rFonts w:hint="eastAsia" w:ascii="Times New Roman" w:hAnsi="Times New Roman" w:eastAsia="仿宋"/>
          <w:sz w:val="24"/>
        </w:rPr>
        <w:t>各县（市、区）填报的数据应包含本辖区所主管（监管）企业的数据；</w:t>
      </w:r>
      <w:r>
        <w:rPr>
          <w:rFonts w:ascii="Times New Roman" w:hAnsi="Times New Roman" w:eastAsia="仿宋"/>
          <w:sz w:val="24"/>
        </w:rPr>
        <w:t>5.</w:t>
      </w:r>
      <w:r>
        <w:rPr>
          <w:rFonts w:hint="eastAsia" w:ascii="Times New Roman" w:hAnsi="Times New Roman" w:eastAsia="仿宋"/>
          <w:sz w:val="24"/>
        </w:rPr>
        <w:t>每月</w:t>
      </w:r>
      <w:r>
        <w:rPr>
          <w:rFonts w:ascii="Times New Roman" w:hAnsi="Times New Roman" w:eastAsia="仿宋"/>
          <w:sz w:val="24"/>
        </w:rPr>
        <w:t>3</w:t>
      </w:r>
      <w:r>
        <w:rPr>
          <w:rFonts w:hint="eastAsia" w:ascii="Times New Roman" w:hAnsi="Times New Roman" w:eastAsia="仿宋"/>
          <w:sz w:val="24"/>
        </w:rPr>
        <w:t>日前上报上一个月巩固提高进展情况；</w:t>
      </w:r>
      <w:r>
        <w:rPr>
          <w:rFonts w:ascii="Times New Roman" w:hAnsi="Times New Roman" w:eastAsia="仿宋"/>
          <w:sz w:val="24"/>
        </w:rPr>
        <w:t>6.</w:t>
      </w:r>
      <w:r>
        <w:rPr>
          <w:rFonts w:hint="eastAsia" w:ascii="Times New Roman" w:hAnsi="Times New Roman" w:eastAsia="仿宋"/>
          <w:sz w:val="24"/>
        </w:rPr>
        <w:t>激励、约束是指除执法外运用经济政策、社会荣誉、信贷信用、投融资、保险费率等单项或多项综合措施给予有关企业的激励、约束。</w:t>
      </w:r>
    </w:p>
    <w:p>
      <w:pPr>
        <w:pStyle w:val="6"/>
        <w:adjustRightInd w:val="0"/>
        <w:snapToGrid w:val="0"/>
        <w:spacing w:after="0" w:line="580" w:lineRule="exact"/>
        <w:ind w:left="0" w:leftChars="0" w:firstLine="0" w:firstLineChars="0"/>
        <w:rPr>
          <w:rFonts w:ascii="Times New Roman" w:hAnsi="Times New Roman" w:eastAsia="仿宋_GB2312"/>
        </w:rPr>
        <w:sectPr>
          <w:footerReference r:id="rId3" w:type="default"/>
          <w:pgSz w:w="16838" w:h="11906" w:orient="landscape"/>
          <w:pgMar w:top="1134" w:right="1134" w:bottom="1134" w:left="1134" w:header="851" w:footer="992"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p>
    <w:pPr>
      <w:pStyle w:val="5"/>
    </w:pPr>
    <w:r>
      <mc:AlternateContent>
        <mc:Choice Requires="wps">
          <w:drawing>
            <wp:anchor distT="0" distB="0" distL="114300" distR="114300" simplePos="0" relativeHeight="251659264" behindDoc="0" locked="0" layoutInCell="1" allowOverlap="1">
              <wp:simplePos x="0" y="0"/>
              <wp:positionH relativeFrom="margin">
                <wp:posOffset>8079740</wp:posOffset>
              </wp:positionH>
              <wp:positionV relativeFrom="paragraph">
                <wp:posOffset>175260</wp:posOffset>
              </wp:positionV>
              <wp:extent cx="11690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9035" cy="230505"/>
                      </a:xfrm>
                      <a:prstGeom prst="rect">
                        <a:avLst/>
                      </a:prstGeom>
                      <a:noFill/>
                      <a:ln>
                        <a:noFill/>
                      </a:ln>
                    </wps:spPr>
                    <wps:txbx>
                      <w:txbxContent>
                        <w:p>
                          <w:pPr>
                            <w:pStyle w:val="5"/>
                            <w:ind w:right="360" w:firstLine="360"/>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16</w:t>
                          </w:r>
                          <w:r>
                            <w:rPr>
                              <w:rStyle w:val="9"/>
                              <w:rFonts w:ascii="宋体" w:hAnsi="宋体" w:cs="宋体"/>
                              <w:sz w:val="28"/>
                              <w:szCs w:val="28"/>
                            </w:rPr>
                            <w:fldChar w:fldCharType="end"/>
                          </w:r>
                          <w:r>
                            <w:rPr>
                              <w:rStyle w:val="9"/>
                              <w:rFonts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636.2pt;margin-top:13.8pt;height:18.15pt;width:92.05pt;mso-position-horizontal-relative:margin;mso-wrap-style:none;z-index:251659264;mso-width-relative:page;mso-height-relative:page;" filled="f" stroked="f" coordsize="21600,21600" o:gfxdata="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&#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EaYP1wAAAAsBAAAPAAAAAAAAAAEAIAAAACIAAABk&#10;cnMvZG93bnJldi54bWxQSwECFAAUAAAACACHTuJAROlEGM4BAACYAwAADgAAAAAAAAABACAAAAAm&#10;AQAAZHJzL2Uyb0RvYy54bWxQSwUGAAAAAAYABgBZAQAAZgUAAAAA&#10;">
              <v:fill on="f" focussize="0,0"/>
              <v:stroke on="f"/>
              <v:imagedata o:title=""/>
              <o:lock v:ext="edit" aspectratio="f"/>
              <v:textbox inset="0mm,0mm,0mm,0mm" style="mso-fit-shape-to-text:t;">
                <w:txbxContent>
                  <w:p>
                    <w:pPr>
                      <w:pStyle w:val="5"/>
                      <w:ind w:right="360" w:firstLine="360"/>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16</w:t>
                    </w:r>
                    <w:r>
                      <w:rPr>
                        <w:rStyle w:val="9"/>
                        <w:rFonts w:ascii="宋体" w:hAnsi="宋体" w:cs="宋体"/>
                        <w:sz w:val="28"/>
                        <w:szCs w:val="28"/>
                      </w:rPr>
                      <w:fldChar w:fldCharType="end"/>
                    </w:r>
                    <w:r>
                      <w:rPr>
                        <w:rStyle w:val="9"/>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ZTZmZGM2NDQ0Njg2YTBjZDExYzk5Yzk3OWE1OTUifQ=="/>
  </w:docVars>
  <w:rsids>
    <w:rsidRoot w:val="69217D81"/>
    <w:rsid w:val="6921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next w:val="1"/>
    <w:qFormat/>
    <w:uiPriority w:val="99"/>
    <w:rPr>
      <w:rFonts w:ascii="Times New Roman" w:hAnsi="Times New Roman"/>
      <w:sz w:val="18"/>
      <w:szCs w:val="18"/>
    </w:rPr>
  </w:style>
  <w:style w:type="paragraph" w:styleId="3">
    <w:name w:val="Normal Indent"/>
    <w:basedOn w:val="1"/>
    <w:qFormat/>
    <w:uiPriority w:val="99"/>
    <w:pPr>
      <w:ind w:firstLine="420" w:firstLineChars="200"/>
    </w:pPr>
    <w:rPr>
      <w:rFonts w:eastAsia="仿宋"/>
      <w:sz w:val="32"/>
    </w:rPr>
  </w:style>
  <w:style w:type="paragraph" w:styleId="4">
    <w:name w:val="Body Text Indent"/>
    <w:basedOn w:val="1"/>
    <w:next w:val="3"/>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Body Text First Indent 2"/>
    <w:basedOn w:val="4"/>
    <w:qFormat/>
    <w:uiPriority w:val="99"/>
    <w:pPr>
      <w:ind w:firstLine="420" w:firstLineChars="200"/>
    </w:pPr>
    <w:rPr>
      <w:sz w:val="32"/>
      <w:szCs w:val="32"/>
    </w:rPr>
  </w:style>
  <w:style w:type="character" w:styleId="9">
    <w:name w:val="page number"/>
    <w:basedOn w:val="8"/>
    <w:qFormat/>
    <w:uiPriority w:val="99"/>
    <w:rPr>
      <w:rFonts w:cs="Times New Roman"/>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2023-02-06T07:40:00Z</dcterms:created>
  <dc:creator>Administrator</dc:creator>
  <cp:lastModifiedBy>Administrator</cp:lastModifiedBy>
  <dcterms:modified xsi:type="dcterms:W3CDTF">2023-02-06T07:41:07Z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23058F50AD2A442BA506BC12138075FC</vt:lpwstr>
  </property>
</Properties>
</file>